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宋体" w:hAnsi="宋体" w:eastAsia="宋体" w:cs="宋体"/>
          <w:i w:val="0"/>
          <w:iCs w:val="0"/>
          <w:caps w:val="0"/>
          <w:color w:val="001497"/>
          <w:spacing w:val="0"/>
          <w:sz w:val="36"/>
          <w:szCs w:val="36"/>
        </w:rPr>
      </w:pPr>
      <w:r>
        <w:rPr>
          <w:rFonts w:hint="eastAsia" w:ascii="宋体" w:hAnsi="宋体" w:eastAsia="宋体" w:cs="宋体"/>
          <w:i w:val="0"/>
          <w:iCs w:val="0"/>
          <w:caps w:val="0"/>
          <w:color w:val="001497"/>
          <w:spacing w:val="0"/>
          <w:sz w:val="36"/>
          <w:szCs w:val="36"/>
          <w:bdr w:val="none" w:color="auto" w:sz="0" w:space="0"/>
          <w:shd w:val="clear" w:fill="FFFFFF"/>
        </w:rPr>
        <w:t>中华人民共和国密码法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val="0"/>
          <w:bCs w:val="0"/>
          <w:i w:val="0"/>
          <w:iCs w:val="0"/>
          <w:caps w:val="0"/>
          <w:color w:val="001497"/>
          <w:spacing w:val="0"/>
          <w:sz w:val="21"/>
          <w:szCs w:val="21"/>
        </w:rPr>
      </w:pPr>
      <w:r>
        <w:rPr>
          <w:rFonts w:hint="eastAsia" w:ascii="宋体" w:hAnsi="宋体" w:eastAsia="宋体" w:cs="宋体"/>
          <w:b w:val="0"/>
          <w:bCs w:val="0"/>
          <w:i w:val="0"/>
          <w:iCs w:val="0"/>
          <w:caps w:val="0"/>
          <w:color w:val="001497"/>
          <w:spacing w:val="0"/>
          <w:sz w:val="21"/>
          <w:szCs w:val="21"/>
          <w:bdr w:val="none" w:color="auto" w:sz="0" w:space="0"/>
          <w:shd w:val="clear" w:fill="FFFFFF"/>
        </w:rPr>
        <w:t>（2019年10月26日第十三届全国人民代表大会常务委员会第十四次会议通过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第二章　核心密码、普通密码</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第三章　商用密码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第四章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为了规范密码应用和管理，促进密码事业发展，保障网络与信息安全，维护国家安全和社会公共利益，保护公民、法人和其他组织的合法权益，制定本法。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本法所称密码，是指采用特定变换的方法对信息等进行加密保护、安全认证的技术、产品和服务。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密码工作坚持总体国家安全观，遵循统一领导、分级负责，创新发展、服务大局，依法管理、保障安全的原则。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坚持中国共产党对密码工作的领导。中央密码工作领导机构对全国密码工作实行统一领导，制定国家密码工作重大方针政策，统筹协调国家密码重大事项和重要工作，推进国家密码法治建设。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国家密码管理部门负责管理全国的密码工作。县级以上地方各级密码管理部门负责管理本行政区域的密码工作。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国家机关和涉及密码工作的单位在其职责范围内负责本机关、本单位或者本系统的密码工作。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国家对密码实行分类管理。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密码分为核心密码、普通密码和商用密码。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核心密码、普通密码用于保护国家秘密信息，核心密码保护信息的最高密级为绝密级，普通密码保护信息的最高密级为机密级。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核心密码、普通密码属于国家秘密。密码管理部门依照本法和有关法律、行政法规、国家有关规定对核心密码、普通密码实行严格统一管理。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商用密码用于保护不属于国家秘密的信息。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公民、法人和其他组织可以依法使用商用密码保护网络与信息安全。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国家鼓励和支持密码科学技术研究和应用，依法保护密码领域的知识产权，促进密码科学技术进步和创新。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国家加强密码人才培养和队伍建设，对在密码工作中作出突出贡献的组织和个人，按照国家有关规定给予表彰和奖励。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国家采取多种形式加强密码安全教育，将密码安全教育纳入国民教育体系和公务员教育培训体系，增强公民、法人和其他组织的密码安全意识。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县级以上人民政府应当将密码工作纳入本级国民经济和社会发展规划，所需经费列入本级财政预算。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任何组织或者个人不得窃取他人加密保护的信息或者非法侵入他人的密码保障系统。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任何组织或者个人不得利用密码从事危害国家安全、社会公共利益、他人合法权益等违法犯罪活动。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第二章　核心密码、普通密码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国家加强核心密码、普通密码的科学规划、管理和使用，加强制度建设，完善管理措施，增强密码安全保障能力。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在有线、无线通信中传递的国家秘密信息，以及存储、处理国家秘密信息的信息系统，应当依照法律、行政法规和国家有关规定使用核心密码、普通密码进行加密保护、安全认证。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从事核心密码、普通密码科研、生产、服务、检测、装备、使用和销毁等工作的机构（以下统称密码工作机构）应当按照法律、行政法规、国家有关规定以及核心密码、普通密码标准的要求，建立健全安全管理制度，采取严格的保密措施和保密责任制，确保核心密码、普通密码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密码管理部门依法对密码工作机构的核心密码、普通密码工作进行指导、监督和检查，密码工作机构应当配合。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密码管理部门根据工作需要会同有关部门建立核心密码、普通密码的安全监测预警、安全风险评估、信息通报、重大事项会商和应急处置等协作机制，确保核心密码、普通密码安全管理的协同联动和有序高效。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国家加强密码工作机构建设，保障其履行工作职责。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国家建立适应核心密码、普通密码工作需要的人员录用、选调、保密、考核、培训、待遇、奖惩、交流、退出等管理制度。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密码管理部门因工作需要，按照国家有关规定，可以提请公安、交通运输、海关等部门对核心密码、普通密码有关物品和人员提供免检等便利，有关部门应当予以协助。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密码管理部门和密码工作机构应当建立健全严格的监督和安全审查制度，对其工作人员遵守法律和纪律等情况进行监督，并依法采取必要措施，定期或者不定期组织开展安全审查。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第三章　商用密码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国家鼓励商用密码技术的研究开发、学术交流、成果转化和推广应用，健全统一、开放、竞争、有序的商用密码市场体系，鼓励和促进商用密码产业发展。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商用密码的科研、生产、销售、服务和进出口，不得损害国家安全、社会公共利益或者他人合法权益。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国家建立和完善商用密码标准体系。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国务院标准化行政主管部门和国家密码管理部门依据各自职责，组织制定商用密码国家标准、行业标准。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国家支持社会团体、企业利用自主创新技术制定高于国家标准、行业标准相关技术要求的商用密码团体标准、企业标准。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国家推动参与商用密码国际标准化活动，参与制定商用密码国际标准，推进商用密码中国标准与国外标准之间的转化运用。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国家鼓励企业、社会团体和教育、科研机构等参与商用密码国际标准化活动。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商用密码从业单位开展商用密码活动，应当符合有关法律、行政法规、商用密码强制性国家标准以及该从业单位公开标准的技术要求。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国家鼓励商　用密码从业单位采用商用密码推荐性国家标准、行业标准，提升商用密码的防护能力，维护用户的合法权益。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国家推进商用密码检测认证体系建设，制定商用密码检测认证技术规范、规则，鼓励商用密码从业单位自愿接受商用密码检测认证，提升市场竞争力。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商用密码检测、认证机构应当依法取得相关资质，并依照法律、行政法规的规定和商用密码检测认证技术规范、规则开展商用密码检测认证。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商用密码检测、认证机构应当对其在商用密码检测认证中所知悉的国家秘密和商业秘密承担保密义务。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涉及国家安全、国计民生、社会公共利益的商用密码产品，应当依法列入网络关键设备和网络安全专用产品目录，由具备资格的机构检测认证合格后，方可销售或者提供。商用密码产品检测认证适用《中华人民共和国网络安全法》的有关规定，避免重复检测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商用密码服务使用网络关键设备和网络安全专用产品的，应当经商用密码认证机构对该商用密码服务认证合格。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关键信息基础设施的运营者采购涉及商用密码的网络产品和服务，可能影响国家安全的，应当按照《中华人民共和国网络安全法》的规定，通过国家网信部门会同国家密码管理部门等有关部门组织的国家安全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大众消费类产品所采用的商用密码不实行进口许可和出口管制制度。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国家密码管理部门对采用商用密码技术从事电子政务电子认证服务的机构进行认定，会同有关部门负责政务活动中使用电子签名、数据电文的管理。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违反本法规定，发生核心密码、普通密码泄密案件的，由保密行政管理部门、密码管理部门建议有关国家机关、单位对直接负责的主管人员和其他直接责任人员依法给予处分或者处理。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违反本法第二十八条实施进口许可、出口管制的规定，进出口商用密码的，由国务院商务主管部门或者海关依法予以处罚。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密码管理部门和有关部门、单位的工作人员在密码工作中滥用职权、玩忽职守、徇私舞弊，或者泄露、非法向他人提供在履行职责中知悉的商业秘密和个人隐私的，依法给予处分。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违反本法规定，构成犯罪的，依法追究刑事责任；给他人造成损害的，依法承担民事责任。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国家密码管理部门依照法律、行政法规的规定，制定密码管理规章。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中国人民解放军和中国人民武装警察部队的密码工作管理办法，由中央军事委员会根据本法制定。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本法自2020年1月1日起施行。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282369DF"/>
    <w:rsid w:val="2823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2022-11-28T02:55:00Z</dcterms:created>
  <dc:creator>WPS_1500957132</dc:creator>
  <cp:lastModifiedBy>WPS_1500957132</cp:lastModifiedBy>
  <dcterms:modified xsi:type="dcterms:W3CDTF">2022-11-28T02:56:14Z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F13D1AB099DD40B6A70C1794DEA26AF5</vt:lpwstr>
  </property>
</Properties>
</file>